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C2E" w:rsidRDefault="0068249A">
      <w:pPr>
        <w:rPr>
          <w:rFonts w:ascii="Arial" w:eastAsia="Arial" w:hAnsi="Arial" w:cs="Arial"/>
          <w:b/>
          <w:sz w:val="36"/>
          <w:szCs w:val="36"/>
        </w:rPr>
      </w:pPr>
      <w:r>
        <w:rPr>
          <w:rFonts w:ascii="Arial" w:eastAsia="Arial" w:hAnsi="Arial" w:cs="Arial"/>
          <w:b/>
          <w:sz w:val="36"/>
          <w:szCs w:val="36"/>
        </w:rPr>
        <w:t>Framework Schedule 3 (Framework Prices)</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D41C2E" w:rsidRDefault="0068249A">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rsidR="00D41C2E" w:rsidRDefault="0068249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D41C2E" w:rsidRDefault="0068249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sz w:val="24"/>
          <w:szCs w:val="24"/>
        </w:rPr>
        <w:t xml:space="preserve">2 </w:t>
      </w:r>
      <w:r>
        <w:rPr>
          <w:rFonts w:ascii="Arial" w:eastAsia="Arial" w:hAnsi="Arial" w:cs="Arial"/>
          <w:color w:val="000000"/>
          <w:sz w:val="24"/>
          <w:szCs w:val="24"/>
        </w:rPr>
        <w:t>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[a breakdown of the profit and cost components that comprise the relevant Framework Price</w:t>
      </w:r>
      <w:proofErr w:type="gramStart"/>
      <w:r>
        <w:rPr>
          <w:rFonts w:ascii="Arial" w:eastAsia="Arial" w:hAnsi="Arial" w:cs="Arial"/>
          <w:color w:val="000000"/>
          <w:sz w:val="24"/>
          <w:szCs w:val="24"/>
        </w:rPr>
        <w:t>; ]</w:t>
      </w:r>
      <w:proofErr w:type="gramEnd"/>
    </w:p>
    <w:p w:rsidR="00D41C2E" w:rsidRDefault="00D41C2E">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rsidR="00D41C2E" w:rsidRDefault="0068249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Date.]</w:t>
      </w:r>
    </w:p>
    <w:p w:rsidR="00D41C2E" w:rsidRDefault="00D41C2E">
      <w:p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sz w:val="24"/>
          <w:szCs w:val="24"/>
        </w:rPr>
      </w:pP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D41C2E" w:rsidRDefault="0068249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D41C2E" w:rsidRDefault="0068249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D41C2E"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D41C2E" w:rsidRPr="004425AB" w:rsidRDefault="0068249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strike/>
          <w:color w:val="FF0000"/>
          <w:sz w:val="24"/>
          <w:szCs w:val="24"/>
        </w:rPr>
      </w:pPr>
      <w:r>
        <w:rPr>
          <w:rFonts w:ascii="Arial" w:eastAsia="Arial" w:hAnsi="Arial" w:cs="Arial"/>
          <w:color w:val="000000"/>
          <w:sz w:val="24"/>
          <w:szCs w:val="24"/>
        </w:rPr>
        <w:t>a request from the Supplier, which it can make at any time, to decrease the Framework P</w:t>
      </w:r>
      <w:bookmarkStart w:id="5" w:name="_GoBack"/>
      <w:bookmarkEnd w:id="5"/>
      <w:r>
        <w:rPr>
          <w:rFonts w:ascii="Arial" w:eastAsia="Arial" w:hAnsi="Arial" w:cs="Arial"/>
          <w:color w:val="000000"/>
          <w:sz w:val="24"/>
          <w:szCs w:val="24"/>
        </w:rPr>
        <w:t>rices</w:t>
      </w:r>
      <w:r w:rsidR="00F34D7D">
        <w:rPr>
          <w:rFonts w:ascii="Arial" w:eastAsia="Arial" w:hAnsi="Arial" w:cs="Arial"/>
          <w:color w:val="000000"/>
          <w:sz w:val="24"/>
          <w:szCs w:val="24"/>
        </w:rPr>
        <w:t>.</w:t>
      </w:r>
      <w:r>
        <w:rPr>
          <w:rFonts w:ascii="Arial" w:eastAsia="Arial" w:hAnsi="Arial" w:cs="Arial"/>
          <w:color w:val="000000"/>
          <w:sz w:val="24"/>
          <w:szCs w:val="24"/>
        </w:rPr>
        <w:t xml:space="preserve"> </w:t>
      </w:r>
    </w:p>
    <w:p w:rsidR="00D41C2E" w:rsidRDefault="00D41C2E">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rsidR="00D41C2E" w:rsidRDefault="00D41C2E">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D41C2E" w:rsidRDefault="0068249A">
      <w:pPr>
        <w:rPr>
          <w:rFonts w:ascii="Arial" w:eastAsia="Arial" w:hAnsi="Arial" w:cs="Arial"/>
          <w:b/>
          <w:sz w:val="36"/>
          <w:szCs w:val="36"/>
        </w:rPr>
      </w:pPr>
      <w:bookmarkStart w:id="6" w:name="_heading=h.1t3h5sf" w:colFirst="0" w:colLast="0"/>
      <w:bookmarkEnd w:id="6"/>
      <w:r>
        <w:br w:type="page"/>
      </w:r>
      <w:r>
        <w:rPr>
          <w:rFonts w:ascii="Arial" w:eastAsia="Arial" w:hAnsi="Arial" w:cs="Arial"/>
          <w:b/>
          <w:sz w:val="36"/>
          <w:szCs w:val="36"/>
        </w:rPr>
        <w:lastRenderedPageBreak/>
        <w:t>Annex 1: Rates and Prices</w:t>
      </w:r>
    </w:p>
    <w:p w:rsidR="00D41C2E" w:rsidRDefault="0068249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r>
        <w:rPr>
          <w:rFonts w:ascii="Arial" w:eastAsia="Arial" w:hAnsi="Arial" w:cs="Arial"/>
          <w:b/>
          <w:sz w:val="24"/>
          <w:szCs w:val="24"/>
        </w:rPr>
        <w:t>Lot 1</w:t>
      </w:r>
    </w:p>
    <w:p w:rsidR="00D41C2E" w:rsidRDefault="0068249A">
      <w:pPr>
        <w:keepNext/>
        <w:pBdr>
          <w:top w:val="nil"/>
          <w:left w:val="nil"/>
          <w:bottom w:val="nil"/>
          <w:right w:val="nil"/>
          <w:between w:val="nil"/>
        </w:pBdr>
        <w:spacing w:before="240" w:after="240" w:line="240" w:lineRule="auto"/>
        <w:rPr>
          <w:rFonts w:ascii="Arial" w:eastAsia="Arial" w:hAnsi="Arial" w:cs="Arial"/>
          <w:b/>
          <w:smallCaps/>
          <w:sz w:val="24"/>
          <w:szCs w:val="24"/>
        </w:rPr>
      </w:pPr>
      <w:r>
        <w:rPr>
          <w:rFonts w:ascii="Arial" w:eastAsia="Arial" w:hAnsi="Arial" w:cs="Arial"/>
          <w:b/>
          <w:color w:val="000000"/>
          <w:sz w:val="24"/>
          <w:szCs w:val="24"/>
        </w:rPr>
        <w:t xml:space="preserve">Table 2: </w:t>
      </w:r>
      <w:r>
        <w:rPr>
          <w:rFonts w:ascii="Arial" w:eastAsia="Arial" w:hAnsi="Arial" w:cs="Arial"/>
          <w:b/>
          <w:sz w:val="24"/>
          <w:szCs w:val="24"/>
        </w:rPr>
        <w:t>Lot 2</w:t>
      </w:r>
    </w:p>
    <w:p w:rsidR="00D41C2E" w:rsidRDefault="0068249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3: </w:t>
      </w:r>
      <w:r>
        <w:rPr>
          <w:rFonts w:ascii="Arial" w:eastAsia="Arial" w:hAnsi="Arial" w:cs="Arial"/>
          <w:b/>
          <w:sz w:val="24"/>
          <w:szCs w:val="24"/>
        </w:rPr>
        <w:t>Lot 3</w:t>
      </w: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B0C05" w:rsidRDefault="00DB0C05" w:rsidP="00DB0C05">
      <w:pPr>
        <w:spacing w:before="240" w:after="240"/>
        <w:rPr>
          <w:rFonts w:ascii="Arial" w:eastAsia="Arial" w:hAnsi="Arial" w:cs="Arial"/>
          <w:b/>
          <w:sz w:val="24"/>
          <w:szCs w:val="24"/>
        </w:rPr>
      </w:pPr>
      <w:r>
        <w:rPr>
          <w:rFonts w:ascii="Arial" w:eastAsia="Arial" w:hAnsi="Arial" w:cs="Arial"/>
          <w:b/>
          <w:sz w:val="24"/>
          <w:szCs w:val="24"/>
        </w:rPr>
        <w:t>[Guidance Note: Place a copy of the Supplier’s response to relevant award</w:t>
      </w:r>
    </w:p>
    <w:p w:rsidR="00DB0C05" w:rsidRDefault="00DB0C05" w:rsidP="00DB0C05">
      <w:pPr>
        <w:spacing w:before="240" w:after="240"/>
        <w:rPr>
          <w:rFonts w:ascii="Arial" w:eastAsia="Arial" w:hAnsi="Arial" w:cs="Arial"/>
          <w:b/>
          <w:sz w:val="24"/>
          <w:szCs w:val="24"/>
        </w:rPr>
      </w:pPr>
      <w:bookmarkStart w:id="7" w:name="_heading=h.fc9aac53do7k"/>
      <w:bookmarkEnd w:id="7"/>
      <w:r>
        <w:rPr>
          <w:rFonts w:ascii="Arial" w:eastAsia="Arial" w:hAnsi="Arial" w:cs="Arial"/>
          <w:b/>
          <w:sz w:val="24"/>
          <w:szCs w:val="24"/>
        </w:rPr>
        <w:t>questionnaire pricing here once awarded.]</w:t>
      </w: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p w:rsidR="00D41C2E" w:rsidRDefault="00D41C2E">
      <w:pPr>
        <w:pBdr>
          <w:top w:val="nil"/>
          <w:left w:val="nil"/>
          <w:bottom w:val="nil"/>
          <w:right w:val="nil"/>
          <w:between w:val="nil"/>
        </w:pBdr>
        <w:spacing w:before="240" w:after="120" w:line="240" w:lineRule="auto"/>
        <w:ind w:left="-142"/>
        <w:rPr>
          <w:rFonts w:ascii="Arial" w:eastAsia="Arial" w:hAnsi="Arial" w:cs="Arial"/>
          <w:b/>
          <w:i/>
          <w:sz w:val="24"/>
          <w:szCs w:val="24"/>
        </w:rPr>
      </w:pPr>
    </w:p>
    <w:tbl>
      <w:tblPr>
        <w:tblStyle w:val="a2"/>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D41C2E">
        <w:trPr>
          <w:tblHeader/>
        </w:trPr>
        <w:tc>
          <w:tcPr>
            <w:tcW w:w="2254" w:type="dxa"/>
            <w:shd w:val="clear" w:color="auto" w:fill="548DD4"/>
          </w:tcPr>
          <w:p w:rsidR="00D41C2E" w:rsidRDefault="00D41C2E">
            <w:pPr>
              <w:keepNext/>
              <w:pBdr>
                <w:top w:val="nil"/>
                <w:left w:val="nil"/>
                <w:bottom w:val="nil"/>
                <w:right w:val="nil"/>
                <w:between w:val="nil"/>
              </w:pBdr>
              <w:spacing w:before="240" w:after="120"/>
              <w:ind w:left="142"/>
              <w:rPr>
                <w:rFonts w:ascii="Arial" w:eastAsia="Arial" w:hAnsi="Arial" w:cs="Arial"/>
                <w:b/>
                <w:color w:val="000000"/>
                <w:sz w:val="24"/>
                <w:szCs w:val="24"/>
              </w:rPr>
            </w:pPr>
          </w:p>
        </w:tc>
        <w:tc>
          <w:tcPr>
            <w:tcW w:w="2254" w:type="dxa"/>
            <w:shd w:val="clear" w:color="auto" w:fill="548DD4"/>
          </w:tcPr>
          <w:p w:rsidR="00D41C2E" w:rsidRDefault="00D41C2E">
            <w:pPr>
              <w:keepNext/>
              <w:pBdr>
                <w:top w:val="nil"/>
                <w:left w:val="nil"/>
                <w:bottom w:val="nil"/>
                <w:right w:val="nil"/>
                <w:between w:val="nil"/>
              </w:pBdr>
              <w:spacing w:before="240" w:after="120"/>
              <w:ind w:left="142"/>
              <w:rPr>
                <w:rFonts w:ascii="Arial" w:eastAsia="Arial" w:hAnsi="Arial" w:cs="Arial"/>
                <w:b/>
                <w:color w:val="000000"/>
                <w:sz w:val="24"/>
                <w:szCs w:val="24"/>
              </w:rPr>
            </w:pPr>
          </w:p>
        </w:tc>
        <w:tc>
          <w:tcPr>
            <w:tcW w:w="2254" w:type="dxa"/>
            <w:shd w:val="clear" w:color="auto" w:fill="548DD4"/>
          </w:tcPr>
          <w:p w:rsidR="00D41C2E" w:rsidRDefault="00D41C2E">
            <w:pPr>
              <w:keepNext/>
              <w:pBdr>
                <w:top w:val="nil"/>
                <w:left w:val="nil"/>
                <w:bottom w:val="nil"/>
                <w:right w:val="nil"/>
                <w:between w:val="nil"/>
              </w:pBdr>
              <w:spacing w:before="240" w:after="120"/>
              <w:ind w:left="142"/>
              <w:rPr>
                <w:rFonts w:ascii="Arial" w:eastAsia="Arial" w:hAnsi="Arial" w:cs="Arial"/>
                <w:b/>
                <w:color w:val="000000"/>
                <w:sz w:val="24"/>
                <w:szCs w:val="24"/>
              </w:rPr>
            </w:pPr>
          </w:p>
        </w:tc>
        <w:tc>
          <w:tcPr>
            <w:tcW w:w="2254" w:type="dxa"/>
            <w:shd w:val="clear" w:color="auto" w:fill="548DD4"/>
          </w:tcPr>
          <w:p w:rsidR="00D41C2E" w:rsidRDefault="00D41C2E">
            <w:pPr>
              <w:keepNext/>
              <w:pBdr>
                <w:top w:val="nil"/>
                <w:left w:val="nil"/>
                <w:bottom w:val="nil"/>
                <w:right w:val="nil"/>
                <w:between w:val="nil"/>
              </w:pBdr>
              <w:spacing w:before="240" w:after="120"/>
              <w:ind w:left="142"/>
              <w:rPr>
                <w:rFonts w:ascii="Arial" w:eastAsia="Arial" w:hAnsi="Arial" w:cs="Arial"/>
                <w:b/>
                <w:color w:val="000000"/>
                <w:sz w:val="24"/>
                <w:szCs w:val="24"/>
              </w:rPr>
            </w:pPr>
          </w:p>
        </w:tc>
      </w:tr>
      <w:tr w:rsidR="00D41C2E">
        <w:tc>
          <w:tcPr>
            <w:tcW w:w="2254" w:type="dxa"/>
            <w:vMerge w:val="restart"/>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p>
        </w:tc>
        <w:tc>
          <w:tcPr>
            <w:tcW w:w="2254" w:type="dxa"/>
            <w:vMerge w:val="restart"/>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D41C2E">
        <w:trPr>
          <w:trHeight w:val="701"/>
        </w:trPr>
        <w:tc>
          <w:tcPr>
            <w:tcW w:w="2254" w:type="dxa"/>
            <w:vMerge/>
          </w:tcPr>
          <w:p w:rsidR="00D41C2E" w:rsidRDefault="00D41C2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D41C2E" w:rsidRDefault="00D41C2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D41C2E">
        <w:tc>
          <w:tcPr>
            <w:tcW w:w="2254" w:type="dxa"/>
            <w:vMerge w:val="restart"/>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p>
        </w:tc>
        <w:tc>
          <w:tcPr>
            <w:tcW w:w="2254" w:type="dxa"/>
            <w:vMerge w:val="restart"/>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D41C2E">
        <w:tc>
          <w:tcPr>
            <w:tcW w:w="2254" w:type="dxa"/>
            <w:vMerge/>
          </w:tcPr>
          <w:p w:rsidR="00D41C2E" w:rsidRDefault="00D41C2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D41C2E" w:rsidRDefault="00D41C2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D41C2E" w:rsidRDefault="00D41C2E">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D41C2E" w:rsidRDefault="00D41C2E">
      <w:pPr>
        <w:rPr>
          <w:rFonts w:ascii="Arial" w:eastAsia="Arial" w:hAnsi="Arial" w:cs="Arial"/>
          <w:b/>
          <w:sz w:val="24"/>
          <w:szCs w:val="24"/>
        </w:rPr>
        <w:sectPr w:rsidR="00D41C2E">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D41C2E" w:rsidRDefault="00D41C2E">
      <w:pPr>
        <w:rPr>
          <w:rFonts w:ascii="Arial" w:eastAsia="Arial" w:hAnsi="Arial" w:cs="Arial"/>
          <w:b/>
          <w:sz w:val="24"/>
          <w:szCs w:val="24"/>
        </w:rPr>
      </w:pPr>
    </w:p>
    <w:sectPr w:rsidR="00D41C2E">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5EC" w:rsidRDefault="002805EC">
      <w:pPr>
        <w:spacing w:after="0" w:line="240" w:lineRule="auto"/>
      </w:pPr>
      <w:r>
        <w:separator/>
      </w:r>
    </w:p>
  </w:endnote>
  <w:endnote w:type="continuationSeparator" w:id="0">
    <w:p w:rsidR="002805EC" w:rsidRDefault="00280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C2E" w:rsidRDefault="0068249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RM6323</w:t>
    </w:r>
    <w:r>
      <w:rPr>
        <w:rFonts w:ascii="Arial" w:eastAsia="Arial" w:hAnsi="Arial" w:cs="Arial"/>
        <w:sz w:val="20"/>
        <w:szCs w:val="20"/>
      </w:rPr>
      <w:tab/>
      <w:t xml:space="preserve">                                           </w:t>
    </w:r>
  </w:p>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B0C0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41C2E" w:rsidRDefault="0068249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C2E" w:rsidRDefault="0068249A">
    <w:pPr>
      <w:tabs>
        <w:tab w:val="center" w:pos="4513"/>
        <w:tab w:val="right" w:pos="9026"/>
      </w:tabs>
      <w:spacing w:after="0"/>
    </w:pPr>
    <w:r>
      <w:t>Framework Ref: RM</w:t>
    </w:r>
    <w:r>
      <w:tab/>
      <w:t xml:space="preserve">                                           </w:t>
    </w:r>
  </w:p>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D41C2E" w:rsidRDefault="0068249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5EC" w:rsidRDefault="002805EC">
      <w:pPr>
        <w:spacing w:after="0" w:line="240" w:lineRule="auto"/>
      </w:pPr>
      <w:r>
        <w:separator/>
      </w:r>
    </w:p>
  </w:footnote>
  <w:footnote w:type="continuationSeparator" w:id="0">
    <w:p w:rsidR="002805EC" w:rsidRDefault="002805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D41C2E" w:rsidRDefault="0068249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8D02BB"/>
    <w:multiLevelType w:val="multilevel"/>
    <w:tmpl w:val="BB5A1A1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9D2212"/>
    <w:multiLevelType w:val="multilevel"/>
    <w:tmpl w:val="7EB2E5D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C2E"/>
    <w:rsid w:val="002805EC"/>
    <w:rsid w:val="004425AB"/>
    <w:rsid w:val="0068249A"/>
    <w:rsid w:val="00B4113B"/>
    <w:rsid w:val="00D41C2E"/>
    <w:rsid w:val="00DB0C05"/>
    <w:rsid w:val="00F34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B6F49"/>
  <w15:docId w15:val="{70227FE3-9A61-4C09-8197-18CC9D17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126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PcmqP5M70J67u35+wTjCZk5Qv/Q==">AMUW2mUz2USzL7mTRsL4Na8FA7CBfX8YKdDl2OO7sfzk5u2hXiL04PX1n+F0lL3+TiAGWuaiE+ekXP4Zgnr1kkuTszB4gTj3i8Fio8K3GAOPSz4iCUjGMTCMYq9SvCNL8bbtuNqhwU6oWfa7/18+WiXFcDaNdROm56Aiwp7opyJ7nHb29ieYWxcnotoB/YlmUFsdWiXbeYdL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634</Words>
  <Characters>3620</Characters>
  <Application>Microsoft Office Word</Application>
  <DocSecurity>0</DocSecurity>
  <Lines>30</Lines>
  <Paragraphs>8</Paragraphs>
  <ScaleCrop>false</ScaleCrop>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Alison Jones</cp:lastModifiedBy>
  <cp:revision>4</cp:revision>
  <dcterms:created xsi:type="dcterms:W3CDTF">2018-06-14T15:09:00Z</dcterms:created>
  <dcterms:modified xsi:type="dcterms:W3CDTF">2023-05-25T14:09:00Z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